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AB" w:rsidRDefault="001A3013">
      <w:pPr>
        <w:pStyle w:val="Standard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6"/>
          <w:szCs w:val="36"/>
        </w:rPr>
        <w:t>教育部補助推動人文及科技教育先導型計畫要點</w:t>
      </w:r>
    </w:p>
    <w:p w:rsidR="006A30AB" w:rsidRDefault="001A3013">
      <w:pPr>
        <w:pStyle w:val="Standard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第二點、第三點、第四點修正規定</w:t>
      </w:r>
    </w:p>
    <w:p w:rsidR="006A30AB" w:rsidRDefault="006A30AB">
      <w:pPr>
        <w:pStyle w:val="Standard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6A30AB" w:rsidRDefault="001A3013">
      <w:pPr>
        <w:pStyle w:val="Standard"/>
        <w:snapToGrid w:val="0"/>
        <w:spacing w:line="360" w:lineRule="exact"/>
        <w:ind w:left="480" w:hanging="480"/>
        <w:jc w:val="both"/>
        <w:rPr>
          <w:color w:val="000000"/>
        </w:rPr>
      </w:pPr>
      <w:r>
        <w:rPr>
          <w:rFonts w:ascii="標楷體" w:eastAsia="標楷體" w:hAnsi="標楷體"/>
          <w:color w:val="000000"/>
        </w:rPr>
        <w:t>二、人文及科技教育先導型計畫範圍：本要點所稱人文及科技教育先導型計畫（以下簡稱先導型計畫），指編列在本部科技教育預算及特別預算項下，包括基礎科學教育、應用科技教育、人文社會科學教育及跨領域教育，並依據本部各項科技中程個案計畫或年度綱要計畫（以下簡稱科技計畫）辦理之計畫，及已執行完畢科技計畫之後續必要推廣事項。</w:t>
      </w:r>
    </w:p>
    <w:p w:rsidR="006A30AB" w:rsidRDefault="001A3013">
      <w:pPr>
        <w:pStyle w:val="Standard"/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三、補助對象：</w:t>
      </w:r>
    </w:p>
    <w:p w:rsidR="006A30AB" w:rsidRDefault="001A3013">
      <w:pPr>
        <w:pStyle w:val="Standard"/>
        <w:snapToGrid w:val="0"/>
        <w:spacing w:line="36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第一類：公私立大學校院。</w:t>
      </w:r>
    </w:p>
    <w:p w:rsidR="006A30AB" w:rsidRDefault="001A3013">
      <w:pPr>
        <w:pStyle w:val="Standard"/>
        <w:snapToGrid w:val="0"/>
        <w:spacing w:line="360" w:lineRule="exact"/>
        <w:ind w:firstLine="480"/>
        <w:jc w:val="both"/>
        <w:rPr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第二類：直轄市、縣（市）政府、公私立高級中等以下學校及實驗教育機構。</w:t>
      </w:r>
    </w:p>
    <w:p w:rsidR="006A30AB" w:rsidRDefault="001A3013">
      <w:pPr>
        <w:pStyle w:val="Standard"/>
        <w:snapToGrid w:val="0"/>
        <w:spacing w:line="36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第三類：公立學術研究機關（構）。</w:t>
      </w:r>
    </w:p>
    <w:p w:rsidR="006A30AB" w:rsidRDefault="001A3013">
      <w:pPr>
        <w:pStyle w:val="Standard"/>
        <w:snapToGrid w:val="0"/>
        <w:spacing w:line="36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第四類：公立社教館所。</w:t>
      </w:r>
    </w:p>
    <w:p w:rsidR="006A30AB" w:rsidRDefault="001A3013">
      <w:pPr>
        <w:pStyle w:val="Standard"/>
        <w:snapToGrid w:val="0"/>
        <w:spacing w:line="360" w:lineRule="exact"/>
        <w:ind w:left="48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補助對</w:t>
      </w:r>
      <w:r>
        <w:rPr>
          <w:rFonts w:ascii="標楷體" w:eastAsia="標楷體" w:hAnsi="標楷體"/>
          <w:color w:val="000000"/>
        </w:rPr>
        <w:t>象依前點所列領域範圍之屬性，於本部科技計畫徵件之同時公告之。</w:t>
      </w:r>
    </w:p>
    <w:p w:rsidR="006A30AB" w:rsidRDefault="001A3013">
      <w:pPr>
        <w:pStyle w:val="Standard"/>
        <w:snapToGrid w:val="0"/>
        <w:spacing w:line="360" w:lineRule="exact"/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四、補助重點及範圍：先導型計畫以補助研究、規劃、實驗或推動各專業領域或跨領域之人才類型、能力指標、先導課程、先導教材、前瞻教學設備及相關配套措施為重點，其範圍依各科技計畫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包括執行中及其他已執行完畢科技計畫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選擇下列工作項目或策略之一或部分實施：</w:t>
      </w:r>
    </w:p>
    <w:tbl>
      <w:tblPr>
        <w:tblW w:w="4650" w:type="pct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1816"/>
        <w:gridCol w:w="6448"/>
      </w:tblGrid>
      <w:tr w:rsidR="006A30AB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AB" w:rsidRDefault="001A3013">
            <w:pPr>
              <w:pStyle w:val="Standard"/>
              <w:snapToGrid w:val="0"/>
              <w:spacing w:before="90" w:after="90"/>
              <w:ind w:left="-60" w:right="-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工作項目或策略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AB" w:rsidRDefault="001A3013">
            <w:pPr>
              <w:pStyle w:val="Standard"/>
              <w:snapToGrid w:val="0"/>
              <w:spacing w:before="90" w:after="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成立計畫推動辦公室、資源中心、跨校聯盟、合作或夥伴學校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numPr>
                <w:ilvl w:val="0"/>
                <w:numId w:val="23"/>
              </w:numPr>
              <w:snapToGrid w:val="0"/>
              <w:spacing w:before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建立計畫推動運作、支援、輔導諮詢及評估機制。</w:t>
            </w:r>
          </w:p>
          <w:p w:rsidR="006A30AB" w:rsidRDefault="001A3013">
            <w:pPr>
              <w:pStyle w:val="Standard"/>
              <w:numPr>
                <w:ilvl w:val="0"/>
                <w:numId w:val="3"/>
              </w:numPr>
              <w:snapToGrid w:val="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整合及開發國內大專校院教學研究資源，提供共享之平臺或環境、進行跨校或產學交流、合作及服務。</w:t>
            </w:r>
          </w:p>
          <w:p w:rsidR="006A30AB" w:rsidRDefault="001A3013">
            <w:pPr>
              <w:pStyle w:val="Standard"/>
              <w:numPr>
                <w:ilvl w:val="0"/>
                <w:numId w:val="3"/>
              </w:numPr>
              <w:snapToGrid w:val="0"/>
              <w:spacing w:after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協助教學研究資源累積與擴散，成果推廣與評估以及達成該領域人才培育目標有效之相關措施。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人才類型、能力指標與人文及科技教育相關研究發展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numPr>
                <w:ilvl w:val="0"/>
                <w:numId w:val="24"/>
              </w:numPr>
              <w:snapToGrid w:val="0"/>
              <w:spacing w:before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對專業領域或跨領域之人才類型、能力指標之規劃研究。</w:t>
            </w:r>
          </w:p>
          <w:p w:rsidR="006A30AB" w:rsidRDefault="001A3013">
            <w:pPr>
              <w:pStyle w:val="Standard"/>
              <w:numPr>
                <w:ilvl w:val="0"/>
                <w:numId w:val="4"/>
              </w:numPr>
              <w:snapToGrid w:val="0"/>
              <w:spacing w:after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有助於人文及科技教育政策前瞻發展、新興議題研究、績效評估等之單一或整合型計畫。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 w:after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先導性課（學）程規劃改革及發展，教材、教法研究發展及推廣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numPr>
                <w:ilvl w:val="0"/>
                <w:numId w:val="25"/>
              </w:numPr>
              <w:snapToGrid w:val="0"/>
              <w:spacing w:before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規劃重點領域或跨領域課（學）程。</w:t>
            </w:r>
          </w:p>
          <w:p w:rsidR="006A30AB" w:rsidRDefault="001A3013">
            <w:pPr>
              <w:pStyle w:val="Standard"/>
              <w:numPr>
                <w:ilvl w:val="0"/>
                <w:numId w:val="5"/>
              </w:numPr>
              <w:snapToGrid w:val="0"/>
              <w:ind w:left="281" w:right="120" w:hanging="281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編撰發展及蒐集課程教材、教學個案、手冊、專書、教材教法研究改進、成果推廣及輔導。</w:t>
            </w:r>
          </w:p>
          <w:p w:rsidR="006A30AB" w:rsidRDefault="001A3013">
            <w:pPr>
              <w:pStyle w:val="Standard"/>
              <w:numPr>
                <w:ilvl w:val="0"/>
                <w:numId w:val="5"/>
              </w:numPr>
              <w:snapToGrid w:val="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重要經典、論文中外譯注及出版。</w:t>
            </w:r>
          </w:p>
          <w:p w:rsidR="006A30AB" w:rsidRDefault="001A3013">
            <w:pPr>
              <w:pStyle w:val="Standard"/>
              <w:numPr>
                <w:ilvl w:val="0"/>
                <w:numId w:val="5"/>
              </w:numPr>
              <w:snapToGrid w:val="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建立並維護數位化資訊交流平臺、課程教學網頁或網路教材資料庫。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教師進修及人力資源研習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numPr>
                <w:ilvl w:val="0"/>
                <w:numId w:val="26"/>
              </w:numPr>
              <w:snapToGrid w:val="0"/>
              <w:spacing w:before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種子教師培訓及研習。</w:t>
            </w:r>
          </w:p>
          <w:p w:rsidR="006A30AB" w:rsidRDefault="001A3013">
            <w:pPr>
              <w:pStyle w:val="Standard"/>
              <w:numPr>
                <w:ilvl w:val="0"/>
                <w:numId w:val="6"/>
              </w:numPr>
              <w:snapToGrid w:val="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辦理教師研討、改進教學工作坊。</w:t>
            </w:r>
          </w:p>
          <w:p w:rsidR="006A30AB" w:rsidRDefault="001A3013">
            <w:pPr>
              <w:pStyle w:val="Standard"/>
              <w:numPr>
                <w:ilvl w:val="0"/>
                <w:numId w:val="6"/>
              </w:numPr>
              <w:snapToGrid w:val="0"/>
              <w:spacing w:after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其他有助於教師相關創新或專業知能之提升措施。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 w:after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進用專案教學相關人員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進用配合推動計畫所需之專案教學人員及教學助理。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六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國際交流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numPr>
                <w:ilvl w:val="0"/>
                <w:numId w:val="27"/>
              </w:numPr>
              <w:snapToGrid w:val="0"/>
              <w:spacing w:before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教師或學生赴國外參加重要會議、專題研究、研修、實習及競賽。</w:t>
            </w:r>
          </w:p>
          <w:p w:rsidR="006A30AB" w:rsidRDefault="001A3013">
            <w:pPr>
              <w:pStyle w:val="Standard"/>
              <w:numPr>
                <w:ilvl w:val="0"/>
                <w:numId w:val="7"/>
              </w:numPr>
              <w:snapToGrid w:val="0"/>
              <w:spacing w:after="90"/>
              <w:ind w:left="281" w:right="120" w:hanging="281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國外研究生或研究團隊短期來臺研究、辦理國際性學術研討會、研習營、學生研討會；邀請國外優秀學者專家來臺講學。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(</w:t>
            </w:r>
            <w:r>
              <w:rPr>
                <w:rFonts w:ascii="標楷體" w:eastAsia="標楷體" w:hAnsi="標楷體"/>
                <w:color w:val="000000"/>
              </w:rPr>
              <w:t>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學術活動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numPr>
                <w:ilvl w:val="0"/>
                <w:numId w:val="28"/>
              </w:numPr>
              <w:snapToGrid w:val="0"/>
              <w:spacing w:before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辦理國內或國際性競賽。</w:t>
            </w:r>
          </w:p>
          <w:p w:rsidR="006A30AB" w:rsidRDefault="001A3013">
            <w:pPr>
              <w:pStyle w:val="Standard"/>
              <w:numPr>
                <w:ilvl w:val="0"/>
                <w:numId w:val="8"/>
              </w:numPr>
              <w:snapToGrid w:val="0"/>
              <w:spacing w:after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配合計畫推動舉辦之全國性會議、成果發表會、工作坊、研習（討）營（會）、經典研讀及推廣。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充實教學圖書或設備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numPr>
                <w:ilvl w:val="0"/>
                <w:numId w:val="29"/>
              </w:numPr>
              <w:snapToGrid w:val="0"/>
              <w:spacing w:before="90"/>
              <w:ind w:left="281" w:right="120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充實國內外重要經典與研究工具圖書資料（包括專書、文獻、期刊、檔案、參考工具書、微縮、視聽及數位化電子資料等）之建置，並協助該主題之教學研究發展及提升為目的。</w:t>
            </w:r>
          </w:p>
          <w:p w:rsidR="006A30AB" w:rsidRDefault="001A3013">
            <w:pPr>
              <w:pStyle w:val="Standard"/>
              <w:numPr>
                <w:ilvl w:val="0"/>
                <w:numId w:val="9"/>
              </w:numPr>
              <w:snapToGrid w:val="0"/>
              <w:spacing w:after="90"/>
              <w:ind w:left="281" w:hanging="28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充實配合課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學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程、實驗或實作課程以及特色教學實驗室所需之設備。</w:t>
            </w:r>
          </w:p>
        </w:tc>
      </w:tr>
      <w:tr w:rsidR="006A30AB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6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九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/>
              <w:ind w:lef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其他創新實驗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AB" w:rsidRDefault="001A3013">
            <w:pPr>
              <w:pStyle w:val="Standard"/>
              <w:snapToGrid w:val="0"/>
              <w:spacing w:before="90" w:after="90"/>
              <w:ind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創新實驗制度或典範建構。</w:t>
            </w:r>
          </w:p>
        </w:tc>
      </w:tr>
    </w:tbl>
    <w:p w:rsidR="006A30AB" w:rsidRDefault="006A30AB">
      <w:pPr>
        <w:pStyle w:val="Standard"/>
        <w:snapToGrid w:val="0"/>
        <w:jc w:val="both"/>
        <w:rPr>
          <w:rFonts w:ascii="標楷體" w:eastAsia="標楷體" w:hAnsi="標楷體"/>
          <w:color w:val="000000"/>
        </w:rPr>
      </w:pPr>
    </w:p>
    <w:p w:rsidR="006A30AB" w:rsidRDefault="006A30AB">
      <w:pPr>
        <w:pStyle w:val="Standard"/>
        <w:rPr>
          <w:color w:val="000000"/>
        </w:rPr>
      </w:pPr>
    </w:p>
    <w:sectPr w:rsidR="006A30AB">
      <w:pgSz w:w="11906" w:h="16838"/>
      <w:pgMar w:top="1134" w:right="1134" w:bottom="1134" w:left="1134" w:header="720" w:footer="720" w:gutter="0"/>
      <w:pgNumType w:start="3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13" w:rsidRDefault="001A3013">
      <w:r>
        <w:separator/>
      </w:r>
    </w:p>
  </w:endnote>
  <w:endnote w:type="continuationSeparator" w:id="0">
    <w:p w:rsidR="001A3013" w:rsidRDefault="001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ｵﾘｱd､､ｷ｢ﾅ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13" w:rsidRDefault="001A3013">
      <w:r>
        <w:rPr>
          <w:color w:val="000000"/>
        </w:rPr>
        <w:separator/>
      </w:r>
    </w:p>
  </w:footnote>
  <w:footnote w:type="continuationSeparator" w:id="0">
    <w:p w:rsidR="001A3013" w:rsidRDefault="001A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BA2"/>
    <w:multiLevelType w:val="multilevel"/>
    <w:tmpl w:val="27ECF89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73DD3"/>
    <w:multiLevelType w:val="multilevel"/>
    <w:tmpl w:val="31ACF94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73EE2"/>
    <w:multiLevelType w:val="multilevel"/>
    <w:tmpl w:val="524C950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76F7E"/>
    <w:multiLevelType w:val="multilevel"/>
    <w:tmpl w:val="17B4AB2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C3B38"/>
    <w:multiLevelType w:val="multilevel"/>
    <w:tmpl w:val="04323A6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D3377E"/>
    <w:multiLevelType w:val="multilevel"/>
    <w:tmpl w:val="382A0D26"/>
    <w:styleLink w:val="WW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67B0D"/>
    <w:multiLevelType w:val="multilevel"/>
    <w:tmpl w:val="D4EE6B48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CF38C3"/>
    <w:multiLevelType w:val="multilevel"/>
    <w:tmpl w:val="C1788E04"/>
    <w:styleLink w:val="WWNum18"/>
    <w:lvl w:ilvl="0">
      <w:start w:val="1"/>
      <w:numFmt w:val="decimal"/>
      <w:lvlText w:val="%1."/>
      <w:lvlJc w:val="left"/>
      <w:pPr>
        <w:ind w:left="1090" w:hanging="283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abstractNum w:abstractNumId="8" w15:restartNumberingAfterBreak="0">
    <w:nsid w:val="3FD9248B"/>
    <w:multiLevelType w:val="multilevel"/>
    <w:tmpl w:val="36DE366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44C7C"/>
    <w:multiLevelType w:val="multilevel"/>
    <w:tmpl w:val="F24031C4"/>
    <w:styleLink w:val="Outline"/>
    <w:lvl w:ilvl="0">
      <w:start w:val="1"/>
      <w:numFmt w:val="japaneseCounting"/>
      <w:pStyle w:val="2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26976DF"/>
    <w:multiLevelType w:val="multilevel"/>
    <w:tmpl w:val="3202039A"/>
    <w:styleLink w:val="WWNum16"/>
    <w:lvl w:ilvl="0">
      <w:start w:val="1"/>
      <w:numFmt w:val="decimal"/>
      <w:lvlText w:val="%1."/>
      <w:lvlJc w:val="left"/>
      <w:pPr>
        <w:ind w:left="1090" w:hanging="283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abstractNum w:abstractNumId="11" w15:restartNumberingAfterBreak="0">
    <w:nsid w:val="439274AF"/>
    <w:multiLevelType w:val="multilevel"/>
    <w:tmpl w:val="661A775C"/>
    <w:styleLink w:val="WWNum17"/>
    <w:lvl w:ilvl="0">
      <w:start w:val="1"/>
      <w:numFmt w:val="decimal"/>
      <w:lvlText w:val="%1."/>
      <w:lvlJc w:val="left"/>
      <w:pPr>
        <w:ind w:left="1090" w:hanging="283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abstractNum w:abstractNumId="12" w15:restartNumberingAfterBreak="0">
    <w:nsid w:val="4EB24FAC"/>
    <w:multiLevelType w:val="multilevel"/>
    <w:tmpl w:val="82EE779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9711D"/>
    <w:multiLevelType w:val="multilevel"/>
    <w:tmpl w:val="78DCF59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B2DBD"/>
    <w:multiLevelType w:val="multilevel"/>
    <w:tmpl w:val="C93C9A2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51F45"/>
    <w:multiLevelType w:val="multilevel"/>
    <w:tmpl w:val="9398D68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62494C5A"/>
    <w:multiLevelType w:val="multilevel"/>
    <w:tmpl w:val="9F5E562A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2D43C3"/>
    <w:multiLevelType w:val="multilevel"/>
    <w:tmpl w:val="AB6A89B6"/>
    <w:styleLink w:val="WWNum15"/>
    <w:lvl w:ilvl="0">
      <w:start w:val="1"/>
      <w:numFmt w:val="decimal"/>
      <w:lvlText w:val="%1."/>
      <w:lvlJc w:val="left"/>
      <w:pPr>
        <w:ind w:left="1090" w:hanging="283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abstractNum w:abstractNumId="18" w15:restartNumberingAfterBreak="0">
    <w:nsid w:val="6C6D6BAA"/>
    <w:multiLevelType w:val="multilevel"/>
    <w:tmpl w:val="670CD62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E2F3A"/>
    <w:multiLevelType w:val="multilevel"/>
    <w:tmpl w:val="19A8C036"/>
    <w:styleLink w:val="WWNum19"/>
    <w:lvl w:ilvl="0">
      <w:start w:val="1"/>
      <w:numFmt w:val="decimal"/>
      <w:lvlText w:val="%1."/>
      <w:lvlJc w:val="left"/>
      <w:pPr>
        <w:ind w:left="1090" w:hanging="283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abstractNum w:abstractNumId="20" w15:restartNumberingAfterBreak="0">
    <w:nsid w:val="72A608F0"/>
    <w:multiLevelType w:val="multilevel"/>
    <w:tmpl w:val="4670C72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20C55"/>
    <w:multiLevelType w:val="multilevel"/>
    <w:tmpl w:val="8D244AB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8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16"/>
  </w:num>
  <w:num w:numId="16">
    <w:abstractNumId w:val="21"/>
  </w:num>
  <w:num w:numId="17">
    <w:abstractNumId w:val="17"/>
  </w:num>
  <w:num w:numId="18">
    <w:abstractNumId w:val="10"/>
  </w:num>
  <w:num w:numId="19">
    <w:abstractNumId w:val="11"/>
  </w:num>
  <w:num w:numId="20">
    <w:abstractNumId w:val="7"/>
  </w:num>
  <w:num w:numId="21">
    <w:abstractNumId w:val="19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30AB"/>
    <w:rsid w:val="001A3013"/>
    <w:rsid w:val="006A30AB"/>
    <w:rsid w:val="00D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1598E-F518-40D1-9A70-A66A1AB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numPr>
        <w:numId w:val="1"/>
      </w:numPr>
      <w:spacing w:line="720" w:lineRule="auto"/>
      <w:outlineLvl w:val="1"/>
    </w:pPr>
    <w:rPr>
      <w:rFonts w:ascii="Cambria" w:eastAsia="Cambria" w:hAnsi="Cambria" w:cs="Cambria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1">
    <w:name w:val="內文1"/>
    <w:basedOn w:val="Standard"/>
    <w:pPr>
      <w:spacing w:before="120" w:line="312" w:lineRule="auto"/>
      <w:ind w:firstLine="482"/>
      <w:jc w:val="both"/>
    </w:pPr>
    <w:rPr>
      <w:rFonts w:eastAsia="標楷體"/>
    </w:rPr>
  </w:style>
  <w:style w:type="paragraph" w:customStyle="1" w:styleId="gp1">
    <w:name w:val="正文(gp1)"/>
    <w:basedOn w:val="Standard"/>
    <w:pPr>
      <w:spacing w:line="340" w:lineRule="atLeast"/>
      <w:ind w:firstLine="397"/>
    </w:pPr>
    <w:rPr>
      <w:rFonts w:ascii="細明體" w:eastAsia="細明體" w:hAnsi="細明體" w:cs="細明體"/>
      <w:kern w:val="0"/>
      <w:sz w:val="20"/>
      <w:szCs w:val="20"/>
    </w:rPr>
  </w:style>
  <w:style w:type="paragraph" w:styleId="20">
    <w:name w:val="Body Text Indent 2"/>
    <w:basedOn w:val="Standard"/>
    <w:pPr>
      <w:snapToGrid w:val="0"/>
      <w:spacing w:before="180"/>
      <w:ind w:left="1080" w:hanging="720"/>
      <w:jc w:val="both"/>
    </w:pPr>
    <w:rPr>
      <w:rFonts w:ascii="標楷體" w:eastAsia="標楷體" w:hAnsi="標楷體" w:cs="標楷體"/>
      <w:szCs w:val="28"/>
    </w:rPr>
  </w:style>
  <w:style w:type="paragraph" w:customStyle="1" w:styleId="a8">
    <w:name w:val="內文一"/>
    <w:basedOn w:val="Standard"/>
    <w:pPr>
      <w:widowControl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 w:cs="ｵﾘｱd､､ｷ｢ﾅ"/>
      <w:w w:val="88"/>
      <w:kern w:val="0"/>
      <w:sz w:val="26"/>
      <w:szCs w:val="20"/>
    </w:rPr>
  </w:style>
  <w:style w:type="paragraph" w:styleId="a9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line number"/>
    <w:basedOn w:val="a0"/>
  </w:style>
  <w:style w:type="character" w:customStyle="1" w:styleId="21">
    <w:name w:val="標題 2 字元"/>
    <w:rPr>
      <w:rFonts w:ascii="Cambria" w:eastAsia="Cambria" w:hAnsi="Cambria" w:cs="Cambria"/>
      <w:b/>
      <w:bCs/>
      <w:kern w:val="3"/>
      <w:sz w:val="24"/>
      <w:szCs w:val="4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  <w:sz w:val="24"/>
    </w:r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教育經費分配審議委員會第     次特定教育補助審議表</dc:title>
  <dc:creator>moe</dc:creator>
  <cp:lastModifiedBy>Chia-Hui Lin</cp:lastModifiedBy>
  <cp:revision>2</cp:revision>
  <cp:lastPrinted>2021-02-19T13:56:00Z</cp:lastPrinted>
  <dcterms:created xsi:type="dcterms:W3CDTF">2021-03-09T01:32:00Z</dcterms:created>
  <dcterms:modified xsi:type="dcterms:W3CDTF">2021-03-09T01:32:00Z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